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color w:val="000000"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color w:val="000000"/>
          <w:kern w:val="0"/>
          <w:sz w:val="48"/>
          <w:szCs w:val="48"/>
        </w:rPr>
        <w:t>新疆喀什地区中央专项转移支付绩效</w:t>
      </w: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color w:val="000000"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color w:val="000000"/>
          <w:kern w:val="0"/>
          <w:sz w:val="48"/>
          <w:szCs w:val="48"/>
        </w:rPr>
        <w:t>自评报告</w:t>
      </w:r>
    </w:p>
    <w:p>
      <w:pPr>
        <w:ind w:firstLine="2880" w:firstLineChars="800"/>
        <w:rPr>
          <w:rFonts w:hint="eastAsia"/>
          <w:sz w:val="36"/>
          <w:szCs w:val="36"/>
        </w:rPr>
      </w:pPr>
    </w:p>
    <w:p>
      <w:pPr>
        <w:ind w:firstLine="2880" w:firstLineChars="80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（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  <w:lang w:val="en-US" w:eastAsia="zh-CN"/>
        </w:rPr>
        <w:t>2019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年度）</w:t>
      </w:r>
    </w:p>
    <w:p>
      <w:pPr>
        <w:rPr>
          <w:sz w:val="36"/>
          <w:szCs w:val="36"/>
        </w:rPr>
      </w:pPr>
    </w:p>
    <w:p>
      <w:pPr>
        <w:spacing w:line="540" w:lineRule="exact"/>
        <w:jc w:val="center"/>
        <w:rPr>
          <w:sz w:val="36"/>
          <w:szCs w:val="36"/>
        </w:rPr>
      </w:pPr>
    </w:p>
    <w:p>
      <w:pPr>
        <w:rPr>
          <w:sz w:val="36"/>
          <w:szCs w:val="36"/>
        </w:rPr>
      </w:pPr>
    </w:p>
    <w:p>
      <w:pPr>
        <w:rPr>
          <w:sz w:val="36"/>
          <w:szCs w:val="36"/>
        </w:rPr>
      </w:pPr>
    </w:p>
    <w:p>
      <w:pPr>
        <w:rPr>
          <w:rFonts w:hint="eastAsia"/>
          <w:sz w:val="36"/>
          <w:szCs w:val="36"/>
        </w:rPr>
      </w:pPr>
    </w:p>
    <w:p>
      <w:pPr>
        <w:rPr>
          <w:rFonts w:hint="eastAsia" w:eastAsia="仿宋_GB2312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</w:rPr>
        <w:t xml:space="preserve">  项目名称：2019年城市公交成品油价格补助预算资金</w:t>
      </w:r>
      <w:r>
        <w:rPr>
          <w:rFonts w:hint="eastAsia"/>
          <w:sz w:val="36"/>
          <w:szCs w:val="36"/>
          <w:lang w:val="en-US" w:eastAsia="zh-CN"/>
        </w:rPr>
        <w:t>项目</w:t>
      </w:r>
    </w:p>
    <w:p>
      <w:pPr>
        <w:spacing w:line="700" w:lineRule="exact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 xml:space="preserve"> 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麦盖提县交通运输局</w:t>
      </w:r>
    </w:p>
    <w:p>
      <w:pPr>
        <w:spacing w:line="700" w:lineRule="exact"/>
        <w:ind w:firstLine="360" w:firstLineChars="10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麦盖提县交通运输局</w:t>
      </w:r>
    </w:p>
    <w:p>
      <w:pPr>
        <w:ind w:firstLine="360" w:firstLineChars="100"/>
        <w:rPr>
          <w:rFonts w:hint="eastAsia" w:eastAsia="仿宋_GB2312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</w:rPr>
        <w:t>项目负责人（签章）：</w:t>
      </w:r>
      <w:r>
        <w:rPr>
          <w:rFonts w:hint="eastAsia"/>
          <w:sz w:val="36"/>
          <w:szCs w:val="36"/>
          <w:lang w:eastAsia="zh-CN"/>
        </w:rPr>
        <w:t>周斌</w:t>
      </w:r>
    </w:p>
    <w:p>
      <w:pPr>
        <w:ind w:firstLine="360" w:firstLineChars="100"/>
        <w:rPr>
          <w:sz w:val="36"/>
          <w:szCs w:val="36"/>
        </w:rPr>
      </w:pPr>
      <w:r>
        <w:rPr>
          <w:rFonts w:hint="eastAsia"/>
          <w:sz w:val="36"/>
          <w:szCs w:val="36"/>
        </w:rPr>
        <w:t>填报时间：</w:t>
      </w:r>
      <w:r>
        <w:rPr>
          <w:sz w:val="36"/>
          <w:szCs w:val="36"/>
        </w:rPr>
        <w:t xml:space="preserve">   </w:t>
      </w:r>
      <w:r>
        <w:rPr>
          <w:rFonts w:hint="eastAsia"/>
          <w:sz w:val="36"/>
          <w:szCs w:val="36"/>
          <w:lang w:val="en-US" w:eastAsia="zh-CN"/>
        </w:rPr>
        <w:t>2019</w:t>
      </w:r>
      <w:r>
        <w:rPr>
          <w:rFonts w:hint="eastAsia"/>
          <w:sz w:val="36"/>
          <w:szCs w:val="36"/>
        </w:rPr>
        <w:t>年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  <w:lang w:val="en-US" w:eastAsia="zh-CN"/>
        </w:rPr>
        <w:t>12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月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  <w:lang w:val="en-US" w:eastAsia="zh-CN"/>
        </w:rPr>
        <w:t>25</w:t>
      </w:r>
      <w:r>
        <w:rPr>
          <w:rFonts w:hint="eastAsia"/>
          <w:sz w:val="36"/>
          <w:szCs w:val="36"/>
        </w:rPr>
        <w:t>日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/>
          <w:sz w:val="32"/>
          <w:szCs w:val="32"/>
        </w:rPr>
        <w:t>绩效目标分解下达情况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outlineLvl w:val="9"/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</w:pP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  <w:t>（</w:t>
      </w: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  <w:lang w:eastAsia="zh-CN"/>
        </w:rPr>
        <w:t>一</w:t>
      </w: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  <w:t>）自治区内分解下达预算和绩效目标情况。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1、预算情况：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根据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《关于提前下达2019年城市公交成品油价格补助预算的通知》（麦财建字[2019]13号）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下达2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019年城市公交成品油价格补助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资金8.009635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万元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2、绩效目标：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根据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专项资金文件要求，自治区下达年度总目标为：完成发放2019年城市公交车成品油价格补助资金发放，确保城市公交正常运营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outlineLvl w:val="9"/>
        <w:rPr>
          <w:rStyle w:val="4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4"/>
          <w:rFonts w:hint="eastAsia" w:ascii="黑体" w:hAnsi="黑体" w:eastAsia="黑体"/>
          <w:b w:val="0"/>
          <w:spacing w:val="-4"/>
          <w:sz w:val="32"/>
          <w:szCs w:val="32"/>
        </w:rPr>
        <w:t>二、绩效自评工作开展情况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outlineLvl w:val="9"/>
        <w:rPr>
          <w:rStyle w:val="4"/>
          <w:rFonts w:hint="eastAsia" w:ascii="仿宋_GB2312" w:hAnsi="仿宋_GB2312" w:eastAsia="仿宋_GB2312" w:cs="仿宋_GB2312"/>
          <w:b w:val="0"/>
          <w:bCs w:val="0"/>
          <w:color w:val="000000"/>
          <w:spacing w:val="-4"/>
          <w:sz w:val="32"/>
          <w:szCs w:val="32"/>
        </w:rPr>
      </w:pP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000000"/>
          <w:spacing w:val="-4"/>
          <w:sz w:val="32"/>
          <w:szCs w:val="32"/>
        </w:rPr>
        <w:t>（一）前期准备。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整理项目全过程资料建档：绩效目标申报表、实施方案、绩效目标监控表、资金支付或会计凭证。作为评价基础资料。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outlineLvl w:val="9"/>
        <w:rPr>
          <w:rStyle w:val="4"/>
          <w:rFonts w:hint="eastAsia" w:ascii="仿宋_GB2312" w:hAnsi="仿宋_GB2312" w:eastAsia="仿宋_GB2312" w:cs="仿宋_GB2312"/>
          <w:b w:val="0"/>
          <w:bCs w:val="0"/>
          <w:color w:val="000000"/>
          <w:spacing w:val="-4"/>
          <w:sz w:val="32"/>
          <w:szCs w:val="32"/>
        </w:rPr>
      </w:pP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000000"/>
          <w:spacing w:val="-4"/>
          <w:sz w:val="32"/>
          <w:szCs w:val="32"/>
        </w:rPr>
        <w:t>（二）组织过程。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各客运企业要召集从业人员召开油价补贴发放布置会，同时要对油价补贴发放政策进行对外宣传。在发放前必须将《油价补贴发放资金实施方案》和《油价补贴发放登记表》在业务大厅、企业及车辆经营场站等进行公示，公示期7天，公示期间有疑义的，可以及时反映，待问题解决后再发放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9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分析评价。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outlineLvl w:val="9"/>
        <w:rPr>
          <w:rFonts w:hint="eastAsia"/>
          <w:color w:val="auto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对采集的数据资料进行复核汇总、分类整理和综合分析，按照设立的评价指标、标准、权重、方法实施评价，并形成评价结论。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outlineLvl w:val="9"/>
        <w:rPr>
          <w:rStyle w:val="4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4"/>
          <w:rFonts w:hint="eastAsia" w:ascii="黑体" w:hAnsi="黑体" w:eastAsia="黑体"/>
          <w:b w:val="0"/>
          <w:spacing w:val="-4"/>
          <w:sz w:val="32"/>
          <w:szCs w:val="32"/>
        </w:rPr>
        <w:t>三、综合评价结论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经综合评价，本项目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部分指标达成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预期指标，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因2019年成品油价格补助资金发放范围的车辆，都按照车辆实际全年累计营运天数除30折算减整月，如果有剩余天数，不足15天的舍去，超过15天（含15天）的进整，计算每辆车的油价补贴款，城市公交车按标台、实际营运月核算。指标计划补助金额为补助金额除以每辆车的平均数，而发放金额则按照实际营运月数发放，因此存在未完成指标。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在项目实施过程中，做到了资金使用、管理、保障到位，严格执行财政资金管理制度，按照项目实施方案、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根据年初设定的绩效目标，此项目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综合评价得分为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80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9"/>
        <w:rPr>
          <w:rStyle w:val="4"/>
          <w:rFonts w:hint="eastAsia" w:ascii="黑体" w:hAnsi="黑体" w:eastAsia="黑体"/>
          <w:b w:val="0"/>
          <w:spacing w:val="-4"/>
        </w:rPr>
      </w:pPr>
      <w:r>
        <w:rPr>
          <w:rFonts w:hint="eastAsia" w:ascii="黑体" w:hAnsi="黑体" w:eastAsia="黑体"/>
          <w:sz w:val="32"/>
          <w:szCs w:val="32"/>
        </w:rPr>
        <w:t>四、绩效目标完成情况分析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outlineLvl w:val="9"/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</w:pP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  <w:t>（一）项目资金情况分析。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outlineLvl w:val="9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Style w:val="4"/>
          <w:rFonts w:hint="eastAsia" w:ascii="楷体" w:hAnsi="楷体" w:eastAsia="楷体"/>
          <w:b/>
          <w:bCs w:val="0"/>
          <w:color w:val="000000"/>
          <w:spacing w:val="-4"/>
          <w:sz w:val="32"/>
          <w:szCs w:val="32"/>
        </w:rPr>
        <w:t>1</w:t>
      </w: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.项目资金到位情况分析。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根据《关于提前下达2019年城市公交成品油价格补助预算的通知》（麦财建字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〔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〕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13号）文件要求，本项目资金8.009635万元，其中财政资金8.009635万元，资金到位8.009635万元；资金到位率100%。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2.项目资金执行情况分析。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根据《关于提前下达2019年城市公交成品油价格补助预算的通知》（麦财建字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〔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〕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13号）文件关于下达2019年城市公交成品油价格补助资金，本项目总资金8.009365万元，实际支付资金3.74万元，预算执行率46.7%，项目资金主要用于支付2019年城市公交成品油价格补助资金，结余4.27万元的资金已上缴财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 xml:space="preserve"> 3、项目资金管理情况分析。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outlineLvl w:val="9"/>
        <w:rPr>
          <w:rStyle w:val="4"/>
          <w:rFonts w:ascii="仿宋" w:hAnsi="仿宋" w:eastAsia="仿宋"/>
          <w:b w:val="0"/>
          <w:bCs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宋体"/>
          <w:color w:val="auto"/>
          <w:spacing w:val="-4"/>
          <w:sz w:val="32"/>
          <w:szCs w:val="32"/>
        </w:rPr>
        <w:t>本项目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资金严格按照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《新疆维吾尔自治区城乡道路客运成品油价格补助专项资金管理办法》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资金管理办法和地区财政资金管理制度支付资金；资金支付由本单位分管地区领导、主管财务领导、地区财政局等各级部门审批审核；资金的支付有完整的审批程序和手续符合制度要求；不存在截留、挤占、挪用、虚列支出等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outlineLvl w:val="9"/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</w:pP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各客运企业要召集从业人员召开油价补贴发放布置会，同时要对油价补贴发放政策进行对外宣传。在发放前必须将《油价补贴发放资金实施方案》和《油价补贴发放登记表》在业务大厅、企业及车辆经营场站等进行公示，公示期7天，公示期间有疑义的，可以及时反映，待问题解决后再发放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outlineLvl w:val="9"/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</w:pP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  <w:t>项目绩效指标完成情况分析。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outlineLvl w:val="9"/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</w:pP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6" w:firstLineChars="200"/>
        <w:textAlignment w:val="auto"/>
        <w:outlineLvl w:val="9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Style w:val="4"/>
          <w:rFonts w:hint="eastAsia" w:ascii="楷体" w:hAnsi="楷体" w:eastAsia="楷体"/>
          <w:b/>
          <w:bCs w:val="0"/>
          <w:color w:val="000000"/>
          <w:spacing w:val="-4"/>
        </w:rPr>
        <w:t>（</w:t>
      </w: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1）数量指标完成情况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城市公交车车辆数（辆），预期指标是15辆，实际完成值是15辆，指标完成率是100%.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数量指标共计1个，完成1个，达到预期目标,数量指标完成。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质量指标完成情况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保障发放率（%），预期指标是100%，实际完成值是46.7%，指标完成率是46.7%.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保障出行率（%），预期指标是100%，实际完成值是100%，指标完成率是100%.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质量指标共计2个，完成1个，未达到预期目标,数量指标未完成。未完成原因是</w:t>
      </w:r>
      <w:r>
        <w:rPr>
          <w:rFonts w:hint="eastAsia" w:ascii="仿宋" w:hAnsi="仿宋" w:eastAsia="仿宋" w:cs="仿宋"/>
          <w:color w:val="auto"/>
          <w:spacing w:val="-4"/>
          <w:sz w:val="32"/>
          <w:szCs w:val="32"/>
          <w:lang w:val="en-US" w:eastAsia="zh-CN"/>
        </w:rPr>
        <w:t>2019年成品油价格补助资金发放范围的车辆，都按照车辆实际全年累计营运天数除30折算减整月，如果有剩余天数，不足15天的舍去，超过15天（含15天）的进整，计算每辆车的油价补贴款，城市公交车按标台、实际营运月核算。指标计划补助金额为补助金额除以每辆车的平均数，而发放金额则按照实际营运月数发放，因此存在未完成指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（3）时效指标完成情况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资金到位时间，预期指标是2019年4月5日到位，实际完成值是4月5日到位，指标完成率是100%.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资金发放时间，预期指标是2019年7月31日前发放，实际完成值是10月31日前发放完毕，指标完成率是91.7%。数量指标共计2个，完成1个，未达到预期目标,数量指标未完成。未完成原因是2019年城市公交车油价补贴发放是根据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公交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车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标台、实际营运月核算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所发放补贴款的，而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2019年尚未到年底无法核算经营月数故而资金发放时间晚，存在未完成指标。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（4）成本指标完成情况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城市公交车每辆补贴成本（元），预期指标是5339，实际完成值是2491.89，指标完成率是46.7%.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成本指标共计1个，完成0个，未达到预期目标，原因分析2019年成品油价格补助资金发放范围的车辆，都按照车辆实际全年累计营运天数除30折算减整月，如果有剩余天数，不足15天的舍去，超过15天（含15天）的进整，计算每辆车的油价补贴款，城市公交车按标台、实际营运月核算。指标计划补助金额为补助金额除以每辆车的平均数，而发放金额则按照实际营运月数发放，因此实际发放为2491.89元，存在未完成指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outlineLvl w:val="9"/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  <w:lang w:val="en-US" w:eastAsia="zh-CN"/>
        </w:rPr>
      </w:pP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（1）项目实施的经济效益分析。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（2）项目实施的社会效益分析。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社会服务能力提升度，预期指标是效果显著，实际完成值是效果显著，指标完成率是100%。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社会效益指标共计1个，完成1个，达到预期目标，社会效益指标完成。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（</w:t>
      </w:r>
      <w:r>
        <w:rPr>
          <w:rFonts w:hint="eastAsia" w:ascii="仿宋_GB2312" w:hAnsi="Calibri" w:cs="Times New Roman"/>
          <w:b/>
          <w:bCs w:val="0"/>
          <w:sz w:val="32"/>
          <w:szCs w:val="32"/>
          <w:lang w:val="en-US" w:eastAsia="zh-CN"/>
        </w:rPr>
        <w:t>3</w:t>
      </w: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）项目实施的生态效益分析。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无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（</w:t>
      </w:r>
      <w:r>
        <w:rPr>
          <w:rFonts w:hint="eastAsia" w:ascii="仿宋_GB2312" w:hAnsi="Calibri" w:cs="Times New Roman"/>
          <w:b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）项目实施的可持续影响分析。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无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outlineLvl w:val="9"/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  <w:lang w:val="en-US" w:eastAsia="zh-CN"/>
        </w:rPr>
      </w:pP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  <w:lang w:val="en-US" w:eastAsia="zh-CN"/>
        </w:rPr>
        <w:t>3.满意度指标完成情况分析。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人民群众满意度（%），预期指标是</w:t>
      </w:r>
      <w:r>
        <w:rPr>
          <w:rFonts w:hint="default" w:ascii="Arial" w:hAnsi="Arial" w:cs="Arial"/>
          <w:bCs/>
          <w:sz w:val="32"/>
          <w:szCs w:val="32"/>
          <w:lang w:val="en-US" w:eastAsia="zh-CN"/>
        </w:rPr>
        <w:t>≥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95%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，实际完成值是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95%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，指标完成率是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100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 w:val="0"/>
          <w:bCs/>
          <w:kern w:val="2"/>
          <w:sz w:val="32"/>
          <w:szCs w:val="32"/>
          <w:lang w:val="en-US" w:eastAsia="zh-CN" w:bidi="ar-SA"/>
        </w:rPr>
        <w:t>受益对象满意度（%）预期指标是</w:t>
      </w:r>
      <w:r>
        <w:rPr>
          <w:rFonts w:hint="default" w:ascii="Arial" w:hAnsi="Arial" w:cs="Arial"/>
          <w:bCs/>
          <w:sz w:val="32"/>
          <w:szCs w:val="32"/>
          <w:lang w:val="en-US" w:eastAsia="zh-CN"/>
        </w:rPr>
        <w:t>≥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95%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，实际完成值是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95%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，指标完成率是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100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Calibri" w:eastAsia="仿宋_GB2312" w:cs="Times New Roman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b w:val="0"/>
          <w:bCs/>
          <w:kern w:val="2"/>
          <w:sz w:val="32"/>
          <w:szCs w:val="32"/>
          <w:lang w:val="en-US" w:eastAsia="zh-CN" w:bidi="ar-SA"/>
        </w:rPr>
        <w:t>满意度指标共计2个，完成</w:t>
      </w:r>
      <w:r>
        <w:rPr>
          <w:rFonts w:hint="eastAsia" w:ascii="仿宋_GB2312" w:hAnsi="Calibri" w:cs="Times New Roman"/>
          <w:b w:val="0"/>
          <w:bCs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Calibri" w:eastAsia="仿宋_GB2312" w:cs="Times New Roman"/>
          <w:b w:val="0"/>
          <w:bCs/>
          <w:kern w:val="2"/>
          <w:sz w:val="32"/>
          <w:szCs w:val="32"/>
          <w:lang w:val="en-US" w:eastAsia="zh-CN" w:bidi="ar-SA"/>
        </w:rPr>
        <w:t>个，达到预期目标，服务对象满意度指标完成。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9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五、偏离绩效目标的原因和下一步改进措施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outlineLvl w:val="9"/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  <w:lang w:val="en-US" w:eastAsia="zh-CN"/>
        </w:rPr>
      </w:pP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  <w:lang w:val="en-US" w:eastAsia="zh-CN"/>
        </w:rPr>
        <w:t>（一）偏离绩效目标的原因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en-US" w:eastAsia="zh-CN" w:bidi="ar-SA"/>
        </w:rPr>
        <w:t>存在未完成情况：2019年成品油价格补助资金发放范围的车辆，都按照车辆实际全年累计营运天数除30折算减整月，如果有剩余天数，不足15天的舍去，超过15天（含15天）的进整，计算每辆车的油价补贴款，城市公交车按标台、实际营运月核算。指标计划补助金额为补助金额除以每辆车的平均数，而发放金额则按照实际营运月数发放，因此存在未完成指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outlineLvl w:val="9"/>
        <w:rPr>
          <w:rStyle w:val="4"/>
          <w:rFonts w:hint="eastAsia" w:ascii="仿宋" w:hAnsi="仿宋" w:eastAsia="仿宋" w:cs="仿宋"/>
          <w:color w:val="000000"/>
          <w:spacing w:val="-4"/>
          <w:sz w:val="32"/>
          <w:szCs w:val="32"/>
          <w:lang w:val="en-US" w:eastAsia="zh-CN"/>
        </w:rPr>
      </w:pPr>
      <w:r>
        <w:rPr>
          <w:rStyle w:val="4"/>
          <w:rFonts w:hint="eastAsia" w:ascii="仿宋" w:hAnsi="仿宋" w:eastAsia="仿宋" w:cs="仿宋"/>
          <w:color w:val="000000"/>
          <w:spacing w:val="-4"/>
          <w:sz w:val="32"/>
          <w:szCs w:val="32"/>
          <w:lang w:val="en-US" w:eastAsia="zh-CN"/>
        </w:rPr>
        <w:t>（二）下一步改进措施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en-US" w:eastAsia="zh-CN" w:bidi="ar-SA"/>
        </w:rPr>
        <w:t>1.加强对成品油价格补贴政策的宣传解释工作，重点宣传补贴政策的延续性，明确补贴标准随油价的上调而提高，让补贴对象了解国家补贴政策并对油价变化有正确的心里预期。</w:t>
      </w:r>
      <w:r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en-US" w:eastAsia="zh-CN" w:bidi="ar-SA"/>
        </w:rPr>
        <w:t>　  2.要积极配合有关部门做好运价调整、燃油附加等相关配套工作。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en-US" w:eastAsia="zh-CN" w:bidi="ar-SA"/>
        </w:rPr>
        <w:t>3.2020年各企业和各部门在燃油补贴发放过程中更要严格履行职责，确保燃油补贴发放各环节不出问题，出现问题将根据职责范围，由职责部门自行负责,并严格追究相关人员的责任。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84" w:firstLineChars="200"/>
        <w:textAlignment w:val="auto"/>
        <w:outlineLvl w:val="9"/>
        <w:rPr>
          <w:rStyle w:val="4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4"/>
          <w:rFonts w:hint="eastAsia" w:ascii="黑体" w:hAnsi="黑体" w:eastAsia="黑体"/>
          <w:b w:val="0"/>
          <w:spacing w:val="-4"/>
        </w:rPr>
        <w:t xml:space="preserve">   </w:t>
      </w:r>
      <w:r>
        <w:rPr>
          <w:rStyle w:val="4"/>
          <w:rFonts w:hint="eastAsia" w:ascii="黑体" w:hAnsi="黑体" w:eastAsia="黑体"/>
          <w:b w:val="0"/>
          <w:spacing w:val="-4"/>
          <w:sz w:val="32"/>
          <w:szCs w:val="32"/>
        </w:rPr>
        <w:t xml:space="preserve"> 六、绩效自评结果应用和公开情况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outlineLvl w:val="9"/>
        <w:rPr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本次评价通过文件研读、实地调研、数据分析等方式，全面了解了项目资金的使用效率和效果，项目管理过程规范，按照实施方案完成了预期绩效目标。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通过开展预算绩效管理和绩效自评工作，以强化单位职能为核心，通过建立科学合理的绩效机制，客观准确的评价我单位项目支出绩效，不断完善绩效评价体系，加强监督检查和考核工作。</w:t>
      </w: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同时，通过开展自我评价来总结经验,为今后同类项目的执行与实施提供了参考依据。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经综合评价，此项目绩效评价结果为良好，今后我单位会注重结果导向、强调成本效益、硬化责任约束，不断加强绩效管理队伍建设，提升业务素质，提高预算管理水平和政策实施效果，实现预算和绩效管理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整体化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，着力提高财政资源配置效率和使用效益，全面提升我单位公共服务水平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绩效自评结果根据上级要求时间公开。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4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4"/>
          <w:rFonts w:hint="eastAsia" w:ascii="黑体" w:hAnsi="黑体" w:eastAsia="黑体"/>
          <w:b w:val="0"/>
          <w:spacing w:val="-4"/>
          <w:sz w:val="32"/>
          <w:szCs w:val="32"/>
        </w:rPr>
        <w:t>绩效自评工作的经验、问题和建议。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9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1、</w:t>
      </w:r>
      <w:r>
        <w:rPr>
          <w:rFonts w:hint="eastAsia"/>
          <w:color w:val="auto"/>
          <w:sz w:val="32"/>
          <w:szCs w:val="32"/>
        </w:rPr>
        <w:t>项目建设的程序进一步规范；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项目前期做好可行性研究报告，更加细化实施方案，严格执行资金管理办法和财政资金管理制度，严格按照项目实施方案、招投标管理办法等稳步推进工作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9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2、</w:t>
      </w:r>
      <w:r>
        <w:rPr>
          <w:rFonts w:hint="eastAsia"/>
          <w:color w:val="auto"/>
          <w:sz w:val="32"/>
          <w:szCs w:val="32"/>
        </w:rPr>
        <w:t>项目资料有待进一步完善；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项目启动时同步做好档案的归纳与整理，及时整理、收集、汇总，健全档案资料。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3、</w:t>
      </w:r>
      <w:r>
        <w:rPr>
          <w:rFonts w:hint="eastAsia"/>
          <w:color w:val="auto"/>
          <w:sz w:val="32"/>
          <w:szCs w:val="32"/>
        </w:rPr>
        <w:t>项目后续管理有待进一步加强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84" w:firstLineChars="200"/>
        <w:textAlignment w:val="auto"/>
        <w:outlineLvl w:val="9"/>
        <w:rPr>
          <w:rStyle w:val="4"/>
          <w:rFonts w:hint="eastAsia" w:ascii="黑体" w:hAnsi="黑体" w:eastAsia="黑体"/>
          <w:b w:val="0"/>
          <w:spacing w:val="-4"/>
        </w:rPr>
      </w:pPr>
      <w:r>
        <w:rPr>
          <w:rStyle w:val="4"/>
          <w:rFonts w:hint="eastAsia" w:ascii="黑体" w:hAnsi="黑体" w:eastAsia="黑体"/>
          <w:b w:val="0"/>
          <w:spacing w:val="-4"/>
        </w:rPr>
        <w:t>其他需说明的问题。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outlineLvl w:val="9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outlineLvl w:val="9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/>
          <w:spacing w:val="-4"/>
          <w:sz w:val="32"/>
          <w:szCs w:val="32"/>
          <w:lang w:val="en-US" w:eastAsia="zh-CN"/>
        </w:rPr>
        <w:t>201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000000"/>
          <w:spacing w:val="-4"/>
          <w:sz w:val="32"/>
          <w:szCs w:val="32"/>
          <w:lang w:val="en-US" w:eastAsia="zh-CN"/>
        </w:rPr>
        <w:t>年，我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  <w:lang w:val="en-US" w:eastAsia="zh-CN"/>
        </w:rPr>
        <w:t>局</w:t>
      </w:r>
      <w:r>
        <w:rPr>
          <w:rFonts w:ascii="仿宋" w:hAnsi="仿宋" w:eastAsia="仿宋"/>
          <w:bCs/>
          <w:color w:val="000000"/>
          <w:spacing w:val="-4"/>
          <w:sz w:val="32"/>
          <w:szCs w:val="32"/>
          <w:lang w:val="en-US" w:eastAsia="zh-CN"/>
        </w:rPr>
        <w:t>认真按照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  <w:lang w:val="en-US" w:eastAsia="zh-CN"/>
        </w:rPr>
        <w:t>上级及县财政局</w:t>
      </w:r>
      <w:r>
        <w:rPr>
          <w:rFonts w:ascii="仿宋" w:hAnsi="仿宋" w:eastAsia="仿宋"/>
          <w:bCs/>
          <w:color w:val="000000"/>
          <w:spacing w:val="-4"/>
          <w:sz w:val="32"/>
          <w:szCs w:val="32"/>
          <w:lang w:val="en-US" w:eastAsia="zh-CN"/>
        </w:rPr>
        <w:t>的要求开展了贯穿项目管理和预算执行全过程的预算绩效管理工作，结合部门年度预算编制同步编报绩效目标，开展绩效监控，对财政支出绩效和绩效管理工作进行自评，形成了较为完整的预算绩效管理体系。201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000000"/>
          <w:spacing w:val="-4"/>
          <w:sz w:val="32"/>
          <w:szCs w:val="32"/>
          <w:lang w:val="en-US" w:eastAsia="zh-CN"/>
        </w:rPr>
        <w:t>年度的绩效管理工作情况除了在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  <w:lang w:val="en-US" w:eastAsia="zh-CN"/>
        </w:rPr>
        <w:t>本</w:t>
      </w:r>
      <w:r>
        <w:rPr>
          <w:rFonts w:ascii="仿宋" w:hAnsi="仿宋" w:eastAsia="仿宋"/>
          <w:bCs/>
          <w:color w:val="000000"/>
          <w:spacing w:val="-4"/>
          <w:sz w:val="32"/>
          <w:szCs w:val="32"/>
          <w:lang w:val="en-US" w:eastAsia="zh-CN"/>
        </w:rPr>
        <w:t>单位内部公开，还专项报告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  <w:lang w:val="en-US" w:eastAsia="zh-CN"/>
        </w:rPr>
        <w:t>上级部门</w:t>
      </w:r>
      <w:r>
        <w:rPr>
          <w:rFonts w:ascii="仿宋" w:hAnsi="仿宋" w:eastAsia="仿宋"/>
          <w:bCs/>
          <w:color w:val="000000"/>
          <w:spacing w:val="-4"/>
          <w:sz w:val="32"/>
          <w:szCs w:val="32"/>
          <w:lang w:val="en-US" w:eastAsia="zh-CN"/>
        </w:rPr>
        <w:t>，在编制部门预算工作中，也结合绩效管理情况，提出相关意见和建议，促进预算编制更加科学合理，在绩效结果公开和应用方面进行了有益的探索。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outlineLvl w:val="9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主要经验及做法、存在问题和建议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outlineLvl w:val="9"/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主要经验及做法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 w:ascii="仿宋_GB2312" w:hAnsi="Calibri" w:eastAsia="仿宋_GB2312" w:cs="Times New Roman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/>
        </w:rPr>
        <w:t xml:space="preserve"> </w:t>
      </w:r>
      <w:r>
        <w:rPr>
          <w:rFonts w:hint="eastAsia" w:ascii="仿宋_GB2312" w:hAnsi="Calibri" w:eastAsia="仿宋_GB2312" w:cs="Times New Roman"/>
          <w:b w:val="0"/>
          <w:bCs/>
          <w:kern w:val="2"/>
          <w:sz w:val="32"/>
          <w:szCs w:val="32"/>
          <w:lang w:val="en-US" w:eastAsia="zh-CN" w:bidi="ar-SA"/>
        </w:rPr>
        <w:t>本次发放补贴制定了实施方案，确定了领导小组，明确了补贴范围，各客运企业召集从业人员召开油价补贴发放布置会，同时对油价补贴发放政策进行对外宣传。在发放前将《油价补贴发放资金实施方案》和《油价补贴发放登记表》在业务大厅、企业及车辆经营场站等进行公示，公示无误后进行了补贴发放。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outlineLvl w:val="9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存在的问题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仿宋_GB2312" w:hAnsi="Calibri" w:eastAsia="仿宋_GB2312" w:cs="Times New Roman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b w:val="0"/>
          <w:bCs/>
          <w:kern w:val="2"/>
          <w:sz w:val="32"/>
          <w:szCs w:val="32"/>
          <w:lang w:val="en-US" w:eastAsia="zh-CN" w:bidi="ar-SA"/>
        </w:rPr>
        <w:t>油价补贴发放工作时间紧、任务重，审批程序复杂，工作人员不能高效率的进行补贴的发放。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outlineLvl w:val="9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提前做好发放油价补助的前期工作，确保补贴发放及时准确。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4" w:firstLineChars="200"/>
        <w:textAlignment w:val="auto"/>
        <w:outlineLvl w:val="9"/>
        <w:rPr>
          <w:rStyle w:val="4"/>
          <w:rFonts w:hint="eastAsia" w:ascii="黑体" w:hAnsi="黑体" w:eastAsia="黑体"/>
          <w:b w:val="0"/>
          <w:spacing w:val="-4"/>
        </w:rPr>
      </w:pPr>
      <w:r>
        <w:rPr>
          <w:rStyle w:val="4"/>
          <w:rFonts w:hint="eastAsia" w:ascii="黑体" w:hAnsi="黑体" w:eastAsia="黑体"/>
          <w:b w:val="0"/>
          <w:spacing w:val="-4"/>
        </w:rPr>
        <w:t>九、附表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《中央对地方专项转移支付绩效自评表》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B386E5"/>
    <w:multiLevelType w:val="singleLevel"/>
    <w:tmpl w:val="92B386E5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6830E25"/>
    <w:multiLevelType w:val="singleLevel"/>
    <w:tmpl w:val="A6830E25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F291D127"/>
    <w:multiLevelType w:val="singleLevel"/>
    <w:tmpl w:val="F291D12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E33707A"/>
    <w:multiLevelType w:val="singleLevel"/>
    <w:tmpl w:val="2E33707A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3F402ADE"/>
    <w:multiLevelType w:val="singleLevel"/>
    <w:tmpl w:val="3F402ADE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45DD92AC"/>
    <w:multiLevelType w:val="singleLevel"/>
    <w:tmpl w:val="45DD92AC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7B34"/>
    <w:rsid w:val="000543D9"/>
    <w:rsid w:val="005239A2"/>
    <w:rsid w:val="007B7B34"/>
    <w:rsid w:val="0A5C363A"/>
    <w:rsid w:val="0A9704D5"/>
    <w:rsid w:val="0F9574D4"/>
    <w:rsid w:val="10C54CA7"/>
    <w:rsid w:val="15FE4072"/>
    <w:rsid w:val="17AB0827"/>
    <w:rsid w:val="227C0545"/>
    <w:rsid w:val="274928F7"/>
    <w:rsid w:val="49F00C23"/>
    <w:rsid w:val="54D43EE6"/>
    <w:rsid w:val="58D42BDB"/>
    <w:rsid w:val="5B151C5F"/>
    <w:rsid w:val="6ABE5608"/>
    <w:rsid w:val="6BD337C1"/>
    <w:rsid w:val="6DFB5614"/>
    <w:rsid w:val="71994E0D"/>
    <w:rsid w:val="73903243"/>
    <w:rsid w:val="7C312910"/>
    <w:rsid w:val="7CB35142"/>
    <w:rsid w:val="7F87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6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  <w:style w:type="character" w:customStyle="1" w:styleId="6">
    <w:name w:val="标题 3 Char"/>
    <w:basedOn w:val="3"/>
    <w:link w:val="2"/>
    <w:semiHidden/>
    <w:qFormat/>
    <w:uiPriority w:val="9"/>
    <w:rPr>
      <w:rFonts w:ascii="Times New Roman" w:hAnsi="Times New Roman" w:eastAsia="仿宋_GB2312" w:cs="Times New Roman"/>
      <w:b/>
      <w:bCs/>
      <w:sz w:val="32"/>
      <w:szCs w:val="32"/>
    </w:rPr>
  </w:style>
  <w:style w:type="paragraph" w:styleId="7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12</Pages>
  <Words>779</Words>
  <Characters>4444</Characters>
  <Lines>37</Lines>
  <Paragraphs>10</Paragraphs>
  <TotalTime>10</TotalTime>
  <ScaleCrop>false</ScaleCrop>
  <LinksUpToDate>false</LinksUpToDate>
  <CharactersWithSpaces>5213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2020-01-22T14:29:00Z</dcterms:created>
  <dc:creator>Micorosoft</dc:creator>
  <cp:lastModifiedBy>Administrator</cp:lastModifiedBy>
  <dcterms:modified xsi:type="dcterms:W3CDTF">2020-08-23T06:11:05Z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